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BDC8F7" w14:textId="3662722C" w:rsidR="001A5212" w:rsidRDefault="008E37D8">
      <w:pPr>
        <w:autoSpaceDE w:val="0"/>
        <w:autoSpaceDN w:val="0"/>
        <w:jc w:val="left"/>
        <w:rPr>
          <w:rFonts w:ascii="ＭＳ 明朝" w:hAnsi="ＭＳ 明朝"/>
        </w:rPr>
      </w:pPr>
      <w:r>
        <w:rPr>
          <w:rFonts w:ascii="ＭＳ 明朝" w:hAnsi="ＭＳ 明朝" w:hint="eastAsia"/>
        </w:rPr>
        <w:t>様式</w:t>
      </w:r>
      <w:r w:rsidR="00672DBE">
        <w:rPr>
          <w:rFonts w:ascii="ＭＳ 明朝" w:hAnsi="ＭＳ 明朝" w:hint="eastAsia"/>
        </w:rPr>
        <w:t>第10号（第13条関係）</w:t>
      </w:r>
    </w:p>
    <w:p w14:paraId="57D384AB" w14:textId="77777777" w:rsidR="001A5212" w:rsidRDefault="001A5212">
      <w:pPr>
        <w:autoSpaceDE w:val="0"/>
        <w:autoSpaceDN w:val="0"/>
        <w:rPr>
          <w:rFonts w:ascii="ＭＳ 明朝" w:hAnsi="ＭＳ 明朝"/>
        </w:rPr>
      </w:pPr>
    </w:p>
    <w:p w14:paraId="68958543" w14:textId="77777777" w:rsidR="001A5212" w:rsidRDefault="00672DBE">
      <w:pPr>
        <w:autoSpaceDE w:val="0"/>
        <w:autoSpaceDN w:val="0"/>
        <w:jc w:val="center"/>
        <w:rPr>
          <w:rFonts w:ascii="ＭＳ 明朝" w:hAnsi="ＭＳ 明朝"/>
          <w:sz w:val="24"/>
        </w:rPr>
      </w:pPr>
      <w:r>
        <w:rPr>
          <w:rFonts w:ascii="ＭＳ 明朝" w:hAnsi="ＭＳ 明朝" w:hint="eastAsia"/>
          <w:sz w:val="24"/>
        </w:rPr>
        <w:t>変更命令書</w:t>
      </w:r>
    </w:p>
    <w:p w14:paraId="4B263FD1" w14:textId="77777777" w:rsidR="001A5212" w:rsidRDefault="001A5212">
      <w:pPr>
        <w:autoSpaceDE w:val="0"/>
        <w:autoSpaceDN w:val="0"/>
        <w:rPr>
          <w:rFonts w:ascii="ＭＳ 明朝" w:hAnsi="ＭＳ 明朝"/>
        </w:rPr>
      </w:pPr>
    </w:p>
    <w:p w14:paraId="156B2505" w14:textId="77777777" w:rsidR="001A5212" w:rsidRDefault="001A5212">
      <w:pPr>
        <w:autoSpaceDE w:val="0"/>
        <w:autoSpaceDN w:val="0"/>
        <w:jc w:val="right"/>
        <w:rPr>
          <w:rFonts w:ascii="ＭＳ 明朝" w:hAnsi="ＭＳ 明朝"/>
          <w:sz w:val="22"/>
        </w:rPr>
      </w:pPr>
    </w:p>
    <w:p w14:paraId="4A780077" w14:textId="77777777" w:rsidR="001A5212" w:rsidRDefault="00672DBE">
      <w:pPr>
        <w:wordWrap w:val="0"/>
        <w:autoSpaceDE w:val="0"/>
        <w:autoSpaceDN w:val="0"/>
        <w:jc w:val="right"/>
        <w:rPr>
          <w:rFonts w:ascii="ＭＳ 明朝" w:hAnsi="ＭＳ 明朝"/>
          <w:sz w:val="22"/>
        </w:rPr>
      </w:pPr>
      <w:r>
        <w:rPr>
          <w:rFonts w:ascii="ＭＳ 明朝" w:hAnsi="ＭＳ 明朝" w:hint="eastAsia"/>
          <w:sz w:val="22"/>
        </w:rPr>
        <w:t xml:space="preserve">　　年　　月　　日　</w:t>
      </w:r>
    </w:p>
    <w:p w14:paraId="78B6B24A" w14:textId="77777777" w:rsidR="001A5212" w:rsidRDefault="001A5212">
      <w:pPr>
        <w:autoSpaceDE w:val="0"/>
        <w:autoSpaceDN w:val="0"/>
        <w:rPr>
          <w:rFonts w:ascii="ＭＳ 明朝" w:hAnsi="ＭＳ 明朝"/>
          <w:sz w:val="22"/>
        </w:rPr>
      </w:pPr>
    </w:p>
    <w:p w14:paraId="13E2B1A7" w14:textId="77777777" w:rsidR="001A5212" w:rsidRDefault="00672DBE">
      <w:pPr>
        <w:autoSpaceDE w:val="0"/>
        <w:autoSpaceDN w:val="0"/>
        <w:rPr>
          <w:rFonts w:ascii="ＭＳ 明朝" w:hAnsi="ＭＳ 明朝"/>
          <w:sz w:val="22"/>
        </w:rPr>
      </w:pPr>
      <w:r>
        <w:rPr>
          <w:rFonts w:ascii="ＭＳ 明朝" w:hAnsi="ＭＳ 明朝" w:hint="eastAsia"/>
          <w:sz w:val="22"/>
        </w:rPr>
        <w:t xml:space="preserve">　　　　　　　　　　　　　様</w:t>
      </w:r>
    </w:p>
    <w:p w14:paraId="7AC61560" w14:textId="77777777" w:rsidR="001A5212" w:rsidRDefault="001A5212">
      <w:pPr>
        <w:autoSpaceDE w:val="0"/>
        <w:autoSpaceDN w:val="0"/>
        <w:rPr>
          <w:rFonts w:ascii="ＭＳ 明朝" w:hAnsi="ＭＳ 明朝"/>
          <w:sz w:val="22"/>
        </w:rPr>
      </w:pPr>
    </w:p>
    <w:p w14:paraId="1C2F0F8B" w14:textId="4576555B" w:rsidR="001A5212" w:rsidRDefault="00672DBE">
      <w:pPr>
        <w:autoSpaceDE w:val="0"/>
        <w:autoSpaceDN w:val="0"/>
        <w:ind w:leftChars="2800" w:left="5880"/>
        <w:rPr>
          <w:rFonts w:ascii="ＭＳ 明朝" w:hAnsi="ＭＳ 明朝"/>
          <w:sz w:val="22"/>
        </w:rPr>
      </w:pPr>
      <w:r>
        <w:rPr>
          <w:rFonts w:ascii="ＭＳ 明朝" w:hAnsi="ＭＳ 明朝" w:hint="eastAsia"/>
          <w:sz w:val="22"/>
        </w:rPr>
        <w:t>河津町長　　　　　　　　　　　印</w:t>
      </w:r>
    </w:p>
    <w:p w14:paraId="54741126" w14:textId="77777777" w:rsidR="001A5212" w:rsidRDefault="001A5212">
      <w:pPr>
        <w:autoSpaceDE w:val="0"/>
        <w:autoSpaceDN w:val="0"/>
        <w:ind w:leftChars="2800" w:left="5880"/>
        <w:rPr>
          <w:rFonts w:ascii="ＭＳ 明朝" w:hAnsi="ＭＳ 明朝"/>
          <w:sz w:val="22"/>
        </w:rPr>
      </w:pPr>
    </w:p>
    <w:p w14:paraId="03C2CDDA" w14:textId="77777777" w:rsidR="001A5212" w:rsidRDefault="001A5212">
      <w:pPr>
        <w:autoSpaceDE w:val="0"/>
        <w:autoSpaceDN w:val="0"/>
        <w:rPr>
          <w:rFonts w:ascii="ＭＳ 明朝" w:hAnsi="ＭＳ 明朝"/>
          <w:sz w:val="22"/>
        </w:rPr>
      </w:pPr>
    </w:p>
    <w:p w14:paraId="635FDF03" w14:textId="3DE4D19F" w:rsidR="001A5212" w:rsidRDefault="00672DBE">
      <w:pPr>
        <w:autoSpaceDE w:val="0"/>
        <w:autoSpaceDN w:val="0"/>
        <w:ind w:firstLineChars="100" w:firstLine="220"/>
        <w:rPr>
          <w:rFonts w:ascii="ＭＳ 明朝" w:hAnsi="ＭＳ 明朝"/>
          <w:sz w:val="22"/>
        </w:rPr>
      </w:pPr>
      <w:r>
        <w:rPr>
          <w:rFonts w:ascii="ＭＳ 明朝" w:hAnsi="ＭＳ 明朝" w:hint="eastAsia"/>
          <w:sz w:val="22"/>
        </w:rPr>
        <w:t xml:space="preserve">　　　　　年　　月　　日付</w:t>
      </w:r>
      <w:bookmarkStart w:id="0" w:name="_GoBack"/>
      <w:bookmarkEnd w:id="0"/>
      <w:r>
        <w:rPr>
          <w:rFonts w:ascii="ＭＳ 明朝" w:hAnsi="ＭＳ 明朝" w:hint="eastAsia"/>
          <w:sz w:val="22"/>
        </w:rPr>
        <w:t>で景観法第16条第１項（第２項）の規定により届出のあった行為については、景観計画に定められた建築物又は工作物の形態意匠の制限に適合しないと認められるので、同法第17条第１項の規定により、次のとおり必要な措置をとることを命じます。</w:t>
      </w:r>
    </w:p>
    <w:p w14:paraId="6FFB667B" w14:textId="77777777" w:rsidR="001A5212" w:rsidRDefault="00672DBE">
      <w:pPr>
        <w:autoSpaceDE w:val="0"/>
        <w:autoSpaceDN w:val="0"/>
        <w:ind w:firstLineChars="100" w:firstLine="220"/>
        <w:rPr>
          <w:rFonts w:ascii="ＭＳ 明朝" w:hAnsi="ＭＳ 明朝"/>
          <w:sz w:val="22"/>
        </w:rPr>
      </w:pPr>
      <w:r>
        <w:rPr>
          <w:rFonts w:ascii="ＭＳ 明朝" w:hAnsi="ＭＳ 明朝" w:hint="eastAsia"/>
          <w:sz w:val="22"/>
        </w:rPr>
        <w:t>なお、この命令に違反したときは、同法第102条第１号の規定により、50万円以下の罰金に処されることがあります。</w:t>
      </w:r>
    </w:p>
    <w:p w14:paraId="1A976835" w14:textId="77777777" w:rsidR="001A5212" w:rsidRDefault="001A5212">
      <w:pPr>
        <w:autoSpaceDE w:val="0"/>
        <w:autoSpaceDN w:val="0"/>
        <w:rPr>
          <w:rFonts w:ascii="ＭＳ 明朝" w:hAnsi="ＭＳ 明朝"/>
          <w:sz w:val="22"/>
        </w:rPr>
      </w:pPr>
    </w:p>
    <w:tbl>
      <w:tblPr>
        <w:tblW w:w="91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5"/>
        <w:gridCol w:w="7770"/>
      </w:tblGrid>
      <w:tr w:rsidR="001A5212" w14:paraId="27CCF5F6" w14:textId="77777777">
        <w:trPr>
          <w:trHeight w:val="567"/>
        </w:trPr>
        <w:tc>
          <w:tcPr>
            <w:tcW w:w="1365" w:type="dxa"/>
            <w:shd w:val="clear" w:color="auto" w:fill="auto"/>
            <w:vAlign w:val="center"/>
          </w:tcPr>
          <w:p w14:paraId="3D8585E8" w14:textId="77777777" w:rsidR="001A5212" w:rsidRDefault="00672DBE">
            <w:pPr>
              <w:autoSpaceDE w:val="0"/>
              <w:autoSpaceDN w:val="0"/>
              <w:jc w:val="center"/>
              <w:rPr>
                <w:rFonts w:ascii="ＭＳ 明朝" w:hAnsi="ＭＳ 明朝"/>
              </w:rPr>
            </w:pPr>
            <w:r>
              <w:rPr>
                <w:rFonts w:ascii="ＭＳ 明朝" w:hAnsi="ＭＳ 明朝" w:hint="eastAsia"/>
              </w:rPr>
              <w:t>命令の対象となる行為</w:t>
            </w:r>
          </w:p>
        </w:tc>
        <w:tc>
          <w:tcPr>
            <w:tcW w:w="7770" w:type="dxa"/>
            <w:shd w:val="clear" w:color="auto" w:fill="auto"/>
            <w:vAlign w:val="center"/>
          </w:tcPr>
          <w:p w14:paraId="466EE827" w14:textId="77777777" w:rsidR="001A5212" w:rsidRDefault="001A5212">
            <w:pPr>
              <w:autoSpaceDE w:val="0"/>
              <w:autoSpaceDN w:val="0"/>
              <w:jc w:val="left"/>
              <w:rPr>
                <w:rFonts w:ascii="ＭＳ 明朝" w:hAnsi="ＭＳ 明朝"/>
              </w:rPr>
            </w:pPr>
          </w:p>
        </w:tc>
      </w:tr>
      <w:tr w:rsidR="001A5212" w14:paraId="360CC2C4" w14:textId="77777777">
        <w:trPr>
          <w:trHeight w:val="1134"/>
        </w:trPr>
        <w:tc>
          <w:tcPr>
            <w:tcW w:w="1365" w:type="dxa"/>
            <w:shd w:val="clear" w:color="auto" w:fill="auto"/>
            <w:vAlign w:val="center"/>
          </w:tcPr>
          <w:p w14:paraId="7D04B761" w14:textId="77777777" w:rsidR="001A5212" w:rsidRDefault="00672DBE">
            <w:pPr>
              <w:autoSpaceDE w:val="0"/>
              <w:autoSpaceDN w:val="0"/>
              <w:jc w:val="center"/>
              <w:rPr>
                <w:rFonts w:ascii="ＭＳ 明朝" w:hAnsi="ＭＳ 明朝"/>
                <w:kern w:val="0"/>
              </w:rPr>
            </w:pPr>
            <w:r>
              <w:rPr>
                <w:rFonts w:ascii="ＭＳ 明朝" w:hAnsi="ＭＳ 明朝" w:hint="eastAsia"/>
                <w:kern w:val="0"/>
              </w:rPr>
              <w:t>命令の理由</w:t>
            </w:r>
          </w:p>
        </w:tc>
        <w:tc>
          <w:tcPr>
            <w:tcW w:w="7770" w:type="dxa"/>
            <w:shd w:val="clear" w:color="auto" w:fill="auto"/>
            <w:vAlign w:val="center"/>
          </w:tcPr>
          <w:p w14:paraId="38FBFC59" w14:textId="77777777" w:rsidR="001A5212" w:rsidRDefault="001A5212">
            <w:pPr>
              <w:autoSpaceDE w:val="0"/>
              <w:autoSpaceDN w:val="0"/>
              <w:rPr>
                <w:rFonts w:ascii="ＭＳ 明朝" w:hAnsi="ＭＳ 明朝"/>
              </w:rPr>
            </w:pPr>
          </w:p>
        </w:tc>
      </w:tr>
      <w:tr w:rsidR="001A5212" w14:paraId="6339AB17" w14:textId="77777777">
        <w:trPr>
          <w:trHeight w:val="1134"/>
        </w:trPr>
        <w:tc>
          <w:tcPr>
            <w:tcW w:w="1365" w:type="dxa"/>
            <w:shd w:val="clear" w:color="auto" w:fill="auto"/>
            <w:vAlign w:val="center"/>
          </w:tcPr>
          <w:p w14:paraId="2298AA47" w14:textId="77777777" w:rsidR="001A5212" w:rsidRDefault="00672DBE">
            <w:pPr>
              <w:autoSpaceDE w:val="0"/>
              <w:autoSpaceDN w:val="0"/>
              <w:jc w:val="center"/>
              <w:rPr>
                <w:rFonts w:ascii="ＭＳ 明朝" w:hAnsi="ＭＳ 明朝"/>
                <w:kern w:val="0"/>
              </w:rPr>
            </w:pPr>
            <w:r>
              <w:rPr>
                <w:rFonts w:ascii="ＭＳ 明朝" w:hAnsi="ＭＳ 明朝" w:hint="eastAsia"/>
                <w:kern w:val="0"/>
              </w:rPr>
              <w:t>とるべき</w:t>
            </w:r>
          </w:p>
          <w:p w14:paraId="55C92DCC" w14:textId="77777777" w:rsidR="001A5212" w:rsidRDefault="00672DBE">
            <w:pPr>
              <w:autoSpaceDE w:val="0"/>
              <w:autoSpaceDN w:val="0"/>
              <w:jc w:val="center"/>
              <w:rPr>
                <w:rFonts w:ascii="ＭＳ 明朝" w:hAnsi="ＭＳ 明朝"/>
                <w:kern w:val="0"/>
              </w:rPr>
            </w:pPr>
            <w:r>
              <w:rPr>
                <w:rFonts w:ascii="ＭＳ 明朝" w:hAnsi="ＭＳ 明朝" w:hint="eastAsia"/>
                <w:kern w:val="0"/>
              </w:rPr>
              <w:t>措置</w:t>
            </w:r>
          </w:p>
        </w:tc>
        <w:tc>
          <w:tcPr>
            <w:tcW w:w="7770" w:type="dxa"/>
            <w:shd w:val="clear" w:color="auto" w:fill="auto"/>
            <w:vAlign w:val="center"/>
          </w:tcPr>
          <w:p w14:paraId="21EEDA4E" w14:textId="77777777" w:rsidR="001A5212" w:rsidRDefault="001A5212">
            <w:pPr>
              <w:autoSpaceDE w:val="0"/>
              <w:autoSpaceDN w:val="0"/>
              <w:rPr>
                <w:rFonts w:ascii="ＭＳ 明朝" w:hAnsi="ＭＳ 明朝"/>
              </w:rPr>
            </w:pPr>
          </w:p>
        </w:tc>
      </w:tr>
    </w:tbl>
    <w:p w14:paraId="36657982" w14:textId="77777777" w:rsidR="001A5212" w:rsidRDefault="00672DBE">
      <w:pPr>
        <w:autoSpaceDE w:val="0"/>
        <w:autoSpaceDN w:val="0"/>
        <w:rPr>
          <w:rFonts w:ascii="ＭＳ 明朝" w:hAnsi="ＭＳ 明朝"/>
          <w:sz w:val="18"/>
        </w:rPr>
      </w:pPr>
      <w:r>
        <w:rPr>
          <w:rFonts w:ascii="ＭＳ 明朝" w:hAnsi="ＭＳ 明朝" w:hint="eastAsia"/>
          <w:sz w:val="18"/>
        </w:rPr>
        <w:t>（教示）</w:t>
      </w:r>
    </w:p>
    <w:p w14:paraId="6DF33622" w14:textId="157ADBB1" w:rsidR="001A5212" w:rsidRDefault="00672DBE">
      <w:pPr>
        <w:ind w:firstLineChars="100" w:firstLine="180"/>
        <w:rPr>
          <w:rFonts w:ascii="ＭＳ 明朝" w:hAnsi="ＭＳ 明朝"/>
          <w:sz w:val="18"/>
        </w:rPr>
      </w:pPr>
      <w:r>
        <w:rPr>
          <w:rFonts w:ascii="ＭＳ 明朝" w:hAnsi="ＭＳ 明朝" w:hint="eastAsia"/>
          <w:sz w:val="18"/>
        </w:rPr>
        <w:t>この決定に不服がある場合には、この決定があったことを知った日の翌日から起算して３月以内に、</w:t>
      </w:r>
      <w:r w:rsidRPr="00672DBE">
        <w:rPr>
          <w:rFonts w:ascii="ＭＳ 明朝" w:hAnsi="ＭＳ 明朝" w:hint="eastAsia"/>
          <w:sz w:val="18"/>
          <w:szCs w:val="18"/>
        </w:rPr>
        <w:t>河津</w:t>
      </w:r>
      <w:r>
        <w:rPr>
          <w:rFonts w:ascii="ＭＳ 明朝" w:hAnsi="ＭＳ 明朝" w:hint="eastAsia"/>
          <w:sz w:val="18"/>
        </w:rPr>
        <w:t>町長に対して審査請求をすることができます(なお、この決定があったことを知った日の翌日から起算して３月以内であっても、この決定の日の翌日から起算して１年を経過したときは、審査請求をすることができなくなります。)。</w:t>
      </w:r>
    </w:p>
    <w:p w14:paraId="2670A240" w14:textId="5D0D3B71" w:rsidR="001A5212" w:rsidRDefault="00672DBE">
      <w:pPr>
        <w:rPr>
          <w:rFonts w:ascii="ＭＳ 明朝" w:hAnsi="ＭＳ 明朝"/>
          <w:sz w:val="18"/>
        </w:rPr>
      </w:pPr>
      <w:r>
        <w:rPr>
          <w:rFonts w:ascii="ＭＳ 明朝" w:hAnsi="ＭＳ 明朝" w:hint="eastAsia"/>
          <w:sz w:val="18"/>
        </w:rPr>
        <w:t xml:space="preserve">　この決定については、この決定があったことを知った日の翌日から起算して６月以内に</w:t>
      </w:r>
      <w:r w:rsidRPr="00672DBE">
        <w:rPr>
          <w:rFonts w:ascii="ＭＳ 明朝" w:hAnsi="ＭＳ 明朝" w:hint="eastAsia"/>
          <w:sz w:val="18"/>
          <w:szCs w:val="18"/>
        </w:rPr>
        <w:t>河津</w:t>
      </w:r>
      <w:r>
        <w:rPr>
          <w:rFonts w:ascii="ＭＳ 明朝" w:hAnsi="ＭＳ 明朝" w:hint="eastAsia"/>
          <w:sz w:val="18"/>
        </w:rPr>
        <w:t>町を被告(訴訟において</w:t>
      </w:r>
      <w:r w:rsidR="00C40A3F">
        <w:rPr>
          <w:rFonts w:ascii="ＭＳ 明朝" w:hAnsi="ＭＳ 明朝" w:hint="eastAsia"/>
          <w:sz w:val="18"/>
        </w:rPr>
        <w:t>河津</w:t>
      </w:r>
      <w:r>
        <w:rPr>
          <w:rFonts w:ascii="ＭＳ 明朝" w:hAnsi="ＭＳ 明朝" w:hint="eastAsia"/>
          <w:sz w:val="18"/>
        </w:rPr>
        <w:t>町を代表する者は</w:t>
      </w:r>
      <w:r w:rsidRPr="00672DBE">
        <w:rPr>
          <w:rFonts w:ascii="ＭＳ 明朝" w:hAnsi="ＭＳ 明朝" w:hint="eastAsia"/>
          <w:sz w:val="18"/>
          <w:szCs w:val="18"/>
        </w:rPr>
        <w:t>河津</w:t>
      </w:r>
      <w:r>
        <w:rPr>
          <w:rFonts w:ascii="ＭＳ 明朝" w:hAnsi="ＭＳ 明朝" w:hint="eastAsia"/>
          <w:sz w:val="18"/>
        </w:rPr>
        <w:t>町長となります。)として、決定の取消しの訴えを提起することができます(なお、この決定があったことを知った日の翌日から起算して６月以内であっても、この決定の日の翌日から起算して１年を経過したときは、決定の取消しの訴えを提起することができなくなります。)。ただし、審査請求をした場合には、当該審査請求に対する裁決があったことを知った日の翌日から起算して６月以内で、当該裁決の日の翌日から起算して１年以内のときに、決定の取消しの訴えを提起することができます。</w:t>
      </w:r>
    </w:p>
    <w:sectPr w:rsidR="001A5212">
      <w:pgSz w:w="11906" w:h="16838"/>
      <w:pgMar w:top="1021" w:right="1134" w:bottom="1021"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D3C26" w14:textId="77777777" w:rsidR="00672DBE" w:rsidRDefault="00672DBE">
      <w:r>
        <w:separator/>
      </w:r>
    </w:p>
  </w:endnote>
  <w:endnote w:type="continuationSeparator" w:id="0">
    <w:p w14:paraId="1A9CF7E4" w14:textId="77777777" w:rsidR="00672DBE" w:rsidRDefault="00672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829FFE" w14:textId="77777777" w:rsidR="00672DBE" w:rsidRDefault="00672DBE">
      <w:r>
        <w:separator/>
      </w:r>
    </w:p>
  </w:footnote>
  <w:footnote w:type="continuationSeparator" w:id="0">
    <w:p w14:paraId="40487DB4" w14:textId="77777777" w:rsidR="00672DBE" w:rsidRDefault="00672D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1A5212"/>
    <w:rsid w:val="001A5212"/>
    <w:rsid w:val="00672DBE"/>
    <w:rsid w:val="00785977"/>
    <w:rsid w:val="008E37D8"/>
    <w:rsid w:val="00C40A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C3B169"/>
  <w15:docId w15:val="{01772DCB-ACB3-4010-823C-91D4E182A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table" w:styleId="a9">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627</Characters>
  <Application>Microsoft Office Word</Application>
  <DocSecurity>0</DocSecurity>
  <Lines>5</Lines>
  <Paragraphs>1</Paragraphs>
  <ScaleCrop>false</ScaleCrop>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U2062</cp:lastModifiedBy>
  <cp:revision>3</cp:revision>
  <dcterms:created xsi:type="dcterms:W3CDTF">2024-06-09T21:47:00Z</dcterms:created>
  <dcterms:modified xsi:type="dcterms:W3CDTF">2024-06-09T23:56:00Z</dcterms:modified>
</cp:coreProperties>
</file>